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4F157D">
      <w:pPr>
        <w:widowControl w:val="0"/>
        <w:spacing w:line="230" w:lineRule="auto"/>
        <w:jc w:val="center"/>
      </w:pPr>
      <w:r>
        <w:rPr>
          <w:b/>
          <w:i/>
          <w:color w:val="ED7D31"/>
          <w:sz w:val="42"/>
          <w:szCs w:val="42"/>
          <w:lang w:val="en-US"/>
        </w:rPr>
        <w:t>I</w:t>
      </w:r>
      <w:r w:rsidR="00DD50F7">
        <w:rPr>
          <w:b/>
          <w:i/>
          <w:color w:val="ED7D31"/>
          <w:sz w:val="42"/>
          <w:szCs w:val="42"/>
          <w:lang w:val="en-US"/>
        </w:rPr>
        <w:t>I International Scientific and Practical Conference</w:t>
      </w:r>
    </w:p>
    <w:p w:rsidR="00BD3621" w:rsidRDefault="00DD50F7" w:rsidP="00C664B1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C664B1" w:rsidRPr="00C664B1">
        <w:t xml:space="preserve"> </w:t>
      </w:r>
      <w:r w:rsidR="00C664B1" w:rsidRPr="00C664B1">
        <w:rPr>
          <w:b/>
          <w:color w:val="FF0000"/>
          <w:sz w:val="48"/>
          <w:szCs w:val="48"/>
          <w:lang w:val="uk-UA"/>
        </w:rPr>
        <w:t>Global Scientific Innovations: From Idea to Implementation</w:t>
      </w:r>
      <w:r w:rsidR="00C664B1" w:rsidRPr="00C664B1" w:rsidDel="00C664B1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4F157D">
      <w:pPr>
        <w:jc w:val="center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uk-UA"/>
        </w:rPr>
        <w:t>29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>
        <w:rPr>
          <w:b/>
          <w:i/>
          <w:color w:val="FF0000"/>
          <w:sz w:val="32"/>
          <w:szCs w:val="32"/>
          <w:lang w:val="uk-UA"/>
        </w:rPr>
        <w:t>31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</w:t>
      </w:r>
      <w:r w:rsidR="00C664B1" w:rsidRPr="00780002">
        <w:rPr>
          <w:b/>
          <w:i/>
          <w:color w:val="FF0000"/>
          <w:sz w:val="32"/>
          <w:szCs w:val="32"/>
          <w:lang w:val="en-US"/>
        </w:rPr>
        <w:t>0</w:t>
      </w:r>
      <w:r>
        <w:rPr>
          <w:b/>
          <w:i/>
          <w:color w:val="FF0000"/>
          <w:sz w:val="32"/>
          <w:szCs w:val="32"/>
          <w:lang w:val="uk-UA"/>
        </w:rPr>
        <w:t>7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C664B1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>
        <w:rPr>
          <w:b/>
          <w:i/>
          <w:color w:val="FF0000"/>
          <w:sz w:val="32"/>
          <w:szCs w:val="32"/>
          <w:lang w:val="en-US"/>
        </w:rPr>
        <w:t>Chernivtsi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A20780">
        <w:rPr>
          <w:bCs/>
          <w:sz w:val="28"/>
          <w:szCs w:val="28"/>
          <w:lang w:eastAsia="en-US"/>
        </w:rPr>
        <w:t xml:space="preserve"> </w:t>
      </w:r>
      <w:hyperlink r:id="rId6"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</w:hyperlink>
      <w:r w:rsidR="00A20780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A20780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BB7A09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BB7A09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4F157D">
        <w:rPr>
          <w:sz w:val="28"/>
          <w:szCs w:val="28"/>
          <w:lang w:val="uk-UA" w:eastAsia="en-US"/>
        </w:rPr>
        <w:t>28</w:t>
      </w:r>
      <w:r w:rsidR="00286B19">
        <w:rPr>
          <w:sz w:val="28"/>
          <w:szCs w:val="28"/>
          <w:lang w:val="en-US" w:eastAsia="en-US"/>
        </w:rPr>
        <w:t>.</w:t>
      </w:r>
      <w:r w:rsidR="004F157D">
        <w:rPr>
          <w:sz w:val="28"/>
          <w:szCs w:val="28"/>
          <w:lang w:val="uk-UA" w:eastAsia="en-US"/>
        </w:rPr>
        <w:t>07</w:t>
      </w:r>
      <w:r w:rsidR="00286B19">
        <w:rPr>
          <w:sz w:val="28"/>
          <w:szCs w:val="28"/>
          <w:lang w:val="en-US" w:eastAsia="en-US"/>
        </w:rPr>
        <w:t>.</w:t>
      </w:r>
      <w:r w:rsidRPr="00780002">
        <w:rPr>
          <w:sz w:val="28"/>
          <w:szCs w:val="28"/>
          <w:lang w:val="en-US" w:eastAsia="en-US"/>
        </w:rPr>
        <w:t>2024 (inclusive) to the address of the Organizing Committee:</w:t>
      </w:r>
    </w:p>
    <w:p w:rsidR="00BD3621" w:rsidRDefault="00C664B1">
      <w:pPr>
        <w:ind w:firstLine="284"/>
        <w:jc w:val="both"/>
      </w:pPr>
      <w:r>
        <w:rPr>
          <w:b/>
          <w:color w:val="FF0000"/>
          <w:sz w:val="28"/>
          <w:szCs w:val="28"/>
          <w:lang w:val="en-US" w:eastAsia="en-US"/>
        </w:rPr>
        <w:t xml:space="preserve">Chernivtsi.conf@ukr.net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Text format:</w:t>
      </w:r>
      <w:r>
        <w:rPr>
          <w:sz w:val="28"/>
          <w:szCs w:val="28"/>
          <w:lang w:val="en-US" w:eastAsia="en-US"/>
        </w:rPr>
        <w:t>Microsoft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Numbering of pages:</w:t>
      </w:r>
      <w:r w:rsidRPr="00780002">
        <w:rPr>
          <w:sz w:val="28"/>
          <w:szCs w:val="28"/>
          <w:lang w:val="en-US" w:eastAsia="en-US"/>
        </w:rPr>
        <w:t>absent;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Line spacing:</w:t>
      </w:r>
      <w:r w:rsidRPr="00780002">
        <w:rPr>
          <w:sz w:val="28"/>
          <w:szCs w:val="28"/>
          <w:lang w:val="en-US" w:eastAsia="en-US"/>
        </w:rPr>
        <w:t>one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scope of theses:</w:t>
      </w:r>
      <w:r w:rsidRPr="00780002">
        <w:rPr>
          <w:sz w:val="28"/>
          <w:szCs w:val="28"/>
          <w:lang w:val="en-US" w:eastAsia="en-US"/>
        </w:rPr>
        <w:t>up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Originality of the text:</w:t>
      </w:r>
      <w:r w:rsidRPr="00780002">
        <w:rPr>
          <w:sz w:val="28"/>
          <w:szCs w:val="28"/>
          <w:lang w:val="en-US" w:eastAsia="en-US"/>
        </w:rPr>
        <w:t>at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thesis title (capital letters, bold font, center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Full name of the author(s) (lower case, bold, right-aligned);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academic degree, academic rank, position (right alignment);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place of work (study) in the nominative case (justified on the right edge);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!It is necessary to specify the e-mail addresses of all authors;</w:t>
      </w:r>
    </w:p>
    <w:p w:rsidR="00BD3621" w:rsidRDefault="00DD50F7">
      <w:pPr>
        <w:tabs>
          <w:tab w:val="left" w:pos="567"/>
        </w:tabs>
        <w:ind w:firstLine="567"/>
        <w:jc w:val="both"/>
      </w:pPr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 the authors have the same status, and common place of work (education), then the design is carried out following the Sample design of theses, separating each author with a comma;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sz w:val="28"/>
          <w:szCs w:val="28"/>
          <w:lang w:val="uk-UA" w:eastAsia="en-US"/>
        </w:rPr>
        <w:t>across a line - the main text of theses (point number 14, line spacing - 1.5, paragraph indent - 1.25 cm, width alignment). The main text should highlight the following sections: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Introductions.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The aim of the work./Aim.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Materials and methods./Materials and methods.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Results and discussion./Results and discussion.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Conclusions./Conclusions.;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u w:val="single"/>
          <w:lang w:val="uk-UA" w:eastAsia="en-US"/>
        </w:rPr>
        <w:t>Notes on these pages are prohibited.</w:t>
      </w:r>
    </w:p>
    <w:p w:rsidR="00BD3621" w:rsidRDefault="00DD50F7">
      <w:pPr>
        <w:tabs>
          <w:tab w:val="left" w:pos="567"/>
        </w:tabs>
        <w:ind w:firstLine="284"/>
        <w:jc w:val="both"/>
      </w:pPr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 graphic materials (drawings, diagrams, diagrams, drawings) are marked with "Fig. and are numbered with Arabic numerals. Designation - located under the drawing on the next line in the center and highlighted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4F157D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 xml:space="preserve">are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4F157D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BD200C" w:rsidRDefault="00BD200C" w:rsidP="00BD200C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  <w:r>
        <w:rPr>
          <w:b/>
          <w:bCs/>
          <w:color w:val="C00000"/>
          <w:sz w:val="28"/>
          <w:szCs w:val="30"/>
          <w:lang w:val="ru-RU"/>
        </w:rPr>
        <w:t>PAYMENT FOR PUBLICATION</w:t>
      </w:r>
    </w:p>
    <w:p w:rsidR="00BD200C" w:rsidRDefault="00BD200C" w:rsidP="00BD200C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</w:p>
    <w:p w:rsidR="00BD200C" w:rsidRPr="00780002" w:rsidRDefault="00BD200C" w:rsidP="00BD200C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4F157D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>50 hr</w:t>
      </w:r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BD200C" w:rsidRPr="00780002" w:rsidRDefault="00BD200C" w:rsidP="00BD200C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BD200C" w:rsidRPr="00D76824" w:rsidRDefault="00BD200C" w:rsidP="00BD200C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BD200C" w:rsidRPr="00D76824" w:rsidRDefault="00BD200C" w:rsidP="00BD200C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BD200C" w:rsidRPr="00D76824" w:rsidRDefault="00BD200C" w:rsidP="00BD200C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Ivanin P.S.</w:t>
      </w:r>
    </w:p>
    <w:p w:rsidR="00BD200C" w:rsidRPr="00780002" w:rsidRDefault="00BD200C" w:rsidP="00BD200C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Vch.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Nak. driver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Topic / title of theses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9725463">
    <w:abstractNumId w:val="1"/>
  </w:num>
  <w:num w:numId="2" w16cid:durableId="129417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286B19"/>
    <w:rsid w:val="004F157D"/>
    <w:rsid w:val="005C09CF"/>
    <w:rsid w:val="00780002"/>
    <w:rsid w:val="00A20780"/>
    <w:rsid w:val="00BB7A09"/>
    <w:rsid w:val="00BD200C"/>
    <w:rsid w:val="00BD3621"/>
    <w:rsid w:val="00C664B1"/>
    <w:rsid w:val="00DD50F7"/>
    <w:rsid w:val="00E67CEB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77E6B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ED80-A25A-437C-A39F-975C5B2F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9</cp:revision>
  <dcterms:created xsi:type="dcterms:W3CDTF">2024-04-27T18:50:00Z</dcterms:created>
  <dcterms:modified xsi:type="dcterms:W3CDTF">2024-06-06T12:29:00Z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